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5DB52B5E"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w:t>
      </w:r>
      <w:r w:rsidR="005114CB">
        <w:rPr>
          <w:rFonts w:ascii="Times New Roman" w:hAnsi="Times New Roman" w:cs="Times New Roman"/>
          <w:b/>
          <w:sz w:val="24"/>
          <w:szCs w:val="24"/>
        </w:rPr>
        <w:t>6</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5D36C8C9"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5114CB">
              <w:rPr>
                <w:rFonts w:ascii="Times New Roman" w:hAnsi="Times New Roman" w:cs="Times New Roman"/>
                <w:sz w:val="24"/>
                <w:szCs w:val="24"/>
              </w:rPr>
              <w:t>6</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3832FC55" w:rsidR="00F70AD3" w:rsidRPr="00115A6A" w:rsidRDefault="005114CB" w:rsidP="00F70AD3">
            <w:pPr>
              <w:jc w:val="both"/>
              <w:rPr>
                <w:rFonts w:ascii="Times New Roman" w:hAnsi="Times New Roman" w:cs="Times New Roman"/>
                <w:sz w:val="24"/>
                <w:szCs w:val="24"/>
              </w:rPr>
            </w:pPr>
            <w:r>
              <w:rPr>
                <w:rFonts w:ascii="Times New Roman" w:hAnsi="Times New Roman" w:cs="Times New Roman"/>
                <w:sz w:val="24"/>
                <w:szCs w:val="24"/>
              </w:rPr>
              <w:t>8</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6008BC06" w:rsidR="00F70AD3" w:rsidRPr="00115A6A" w:rsidRDefault="005114CB" w:rsidP="00F70AD3">
            <w:pPr>
              <w:jc w:val="both"/>
              <w:rPr>
                <w:rFonts w:ascii="Times New Roman" w:hAnsi="Times New Roman" w:cs="Times New Roman"/>
                <w:sz w:val="24"/>
                <w:szCs w:val="24"/>
              </w:rPr>
            </w:pPr>
            <w:r>
              <w:rPr>
                <w:rFonts w:ascii="Times New Roman" w:hAnsi="Times New Roman" w:cs="Times New Roman"/>
                <w:sz w:val="24"/>
                <w:szCs w:val="24"/>
              </w:rPr>
              <w:t>13 395</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14624FC8" w:rsidR="00F70AD3" w:rsidRPr="00115A6A" w:rsidRDefault="00C94F95" w:rsidP="00F70AD3">
            <w:pPr>
              <w:jc w:val="both"/>
              <w:rPr>
                <w:rFonts w:ascii="Times New Roman" w:hAnsi="Times New Roman" w:cs="Times New Roman"/>
                <w:sz w:val="24"/>
                <w:szCs w:val="24"/>
              </w:rPr>
            </w:pPr>
            <w:r>
              <w:rPr>
                <w:rFonts w:ascii="Times New Roman" w:hAnsi="Times New Roman" w:cs="Times New Roman"/>
                <w:sz w:val="24"/>
                <w:szCs w:val="24"/>
              </w:rPr>
              <w:t>144</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Работы по предчистовой отделке «white-box»</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73D4EC1C"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5129B0">
        <w:rPr>
          <w:rFonts w:ascii="Times New Roman" w:hAnsi="Times New Roman" w:cs="Times New Roman"/>
          <w:sz w:val="24"/>
          <w:szCs w:val="24"/>
        </w:rPr>
        <w:t>4</w:t>
      </w:r>
      <w:r w:rsidR="00326E60">
        <w:rPr>
          <w:rFonts w:ascii="Times New Roman" w:hAnsi="Times New Roman" w:cs="Times New Roman"/>
          <w:sz w:val="24"/>
          <w:szCs w:val="24"/>
        </w:rPr>
        <w:t>1</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Объект долевого строительства (после выполнения работ по предчистовой отделке «white-box»)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Объект долевого строительства передается Участнику долевого строительства с выполненными Застройщиком работами по предчистовой отделке «white-box»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Участник долевого строительства соглашается с тем, что работы по предчистовой отделке «white-box»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 xml:space="preserve">______(_________________)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______(_________________)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Бенифициар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______(_________________)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(или третье лицо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документов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предчистовой отделке «white-box»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предчистовой отделке «white-box»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6.7.  Гарантийный срок на Работы по предчистовой отделке «white-box»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долевого строительства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11.16.3. Приложение № 3 – «Перечень работ по предчистовой отделке «white-box»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Кор/счет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eastAsia="Times New Roman" w:hAnsi="Times New Roman" w:cs="Times New Roman"/>
                <w:sz w:val="24"/>
                <w:szCs w:val="24"/>
              </w:rPr>
              <w:t xml:space="preserve">Эл.почта: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Счет №:______________ Банк:___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sz w:val="24"/>
                <w:szCs w:val="24"/>
              </w:rPr>
              <w:t>БИК:________________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Эл.почта: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306D9899"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5114CB">
        <w:rPr>
          <w:rFonts w:ascii="Times New Roman" w:hAnsi="Times New Roman" w:cs="Times New Roman"/>
          <w:sz w:val="24"/>
          <w:szCs w:val="24"/>
        </w:rPr>
        <w:t>6</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от «</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1A9D89EE"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5114CB">
        <w:rPr>
          <w:rFonts w:ascii="Times New Roman" w:hAnsi="Times New Roman" w:cs="Times New Roman"/>
          <w:sz w:val="24"/>
          <w:szCs w:val="24"/>
        </w:rPr>
        <w:t>6</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5114CB" w:rsidRPr="00115A6A" w14:paraId="6722837C" w14:textId="77777777" w:rsidTr="0057701B">
        <w:tc>
          <w:tcPr>
            <w:tcW w:w="456" w:type="dxa"/>
          </w:tcPr>
          <w:p w14:paraId="20B4CA4C"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6B672CF6"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Pr>
                <w:rFonts w:ascii="Times New Roman" w:hAnsi="Times New Roman" w:cs="Times New Roman"/>
                <w:sz w:val="24"/>
                <w:szCs w:val="24"/>
              </w:rPr>
              <w:t>6</w:t>
            </w:r>
          </w:p>
        </w:tc>
      </w:tr>
      <w:tr w:rsidR="005114CB" w:rsidRPr="00115A6A" w14:paraId="0709A27A" w14:textId="77777777" w:rsidTr="0057701B">
        <w:tc>
          <w:tcPr>
            <w:tcW w:w="456" w:type="dxa"/>
          </w:tcPr>
          <w:p w14:paraId="321B0C55"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36326BB9"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5114CB" w:rsidRPr="00115A6A" w14:paraId="57556DD1" w14:textId="77777777" w:rsidTr="0057701B">
        <w:tc>
          <w:tcPr>
            <w:tcW w:w="456" w:type="dxa"/>
          </w:tcPr>
          <w:p w14:paraId="17AACBE9"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164AB50A" w:rsidR="005114CB" w:rsidRPr="00115A6A" w:rsidRDefault="005114CB" w:rsidP="005114CB">
            <w:pPr>
              <w:jc w:val="both"/>
              <w:rPr>
                <w:rFonts w:ascii="Times New Roman" w:hAnsi="Times New Roman" w:cs="Times New Roman"/>
                <w:sz w:val="24"/>
                <w:szCs w:val="24"/>
              </w:rPr>
            </w:pPr>
            <w:r>
              <w:rPr>
                <w:rFonts w:ascii="Times New Roman" w:hAnsi="Times New Roman" w:cs="Times New Roman"/>
                <w:sz w:val="24"/>
                <w:szCs w:val="24"/>
              </w:rPr>
              <w:t>8</w:t>
            </w:r>
            <w:r w:rsidRPr="00115A6A">
              <w:rPr>
                <w:rFonts w:ascii="Times New Roman" w:hAnsi="Times New Roman" w:cs="Times New Roman"/>
                <w:sz w:val="24"/>
                <w:szCs w:val="24"/>
              </w:rPr>
              <w:t xml:space="preserve"> надземных этажей + 1 подземный этаж</w:t>
            </w:r>
          </w:p>
        </w:tc>
      </w:tr>
      <w:tr w:rsidR="005114CB" w:rsidRPr="00115A6A" w14:paraId="60D8814A" w14:textId="77777777" w:rsidTr="0057701B">
        <w:tc>
          <w:tcPr>
            <w:tcW w:w="456" w:type="dxa"/>
          </w:tcPr>
          <w:p w14:paraId="0362E18B"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4036CF46" w:rsidR="005114CB" w:rsidRPr="00115A6A" w:rsidRDefault="005114CB" w:rsidP="005114CB">
            <w:pPr>
              <w:jc w:val="both"/>
              <w:rPr>
                <w:rFonts w:ascii="Times New Roman" w:hAnsi="Times New Roman" w:cs="Times New Roman"/>
                <w:sz w:val="24"/>
                <w:szCs w:val="24"/>
              </w:rPr>
            </w:pPr>
            <w:r>
              <w:rPr>
                <w:rFonts w:ascii="Times New Roman" w:hAnsi="Times New Roman" w:cs="Times New Roman"/>
                <w:sz w:val="24"/>
                <w:szCs w:val="24"/>
              </w:rPr>
              <w:t>13 395</w:t>
            </w:r>
          </w:p>
        </w:tc>
      </w:tr>
      <w:tr w:rsidR="005114CB" w:rsidRPr="00115A6A" w14:paraId="794BEFB2" w14:textId="77777777" w:rsidTr="0057701B">
        <w:tc>
          <w:tcPr>
            <w:tcW w:w="456" w:type="dxa"/>
          </w:tcPr>
          <w:p w14:paraId="6CE4DC68"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600048B6" w:rsidR="005114CB" w:rsidRPr="00115A6A" w:rsidRDefault="00342B6F" w:rsidP="005114CB">
            <w:pPr>
              <w:jc w:val="both"/>
              <w:rPr>
                <w:rFonts w:ascii="Times New Roman" w:hAnsi="Times New Roman" w:cs="Times New Roman"/>
                <w:sz w:val="24"/>
                <w:szCs w:val="24"/>
              </w:rPr>
            </w:pPr>
            <w:r>
              <w:rPr>
                <w:rFonts w:ascii="Times New Roman" w:hAnsi="Times New Roman" w:cs="Times New Roman"/>
                <w:sz w:val="24"/>
                <w:szCs w:val="24"/>
              </w:rPr>
              <w:t>144</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55532B26"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5114CB">
              <w:rPr>
                <w:rFonts w:ascii="Times New Roman" w:hAnsi="Times New Roman" w:cs="Times New Roman"/>
                <w:sz w:val="24"/>
                <w:szCs w:val="24"/>
              </w:rPr>
              <w:t>6</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Перечень работ по предчистовой отделке «white-box»</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Сторонами согласовано, что в Объекте долевого строительства выполняется класс отделки – «white-box»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D59D" w14:textId="77777777" w:rsidR="00F56815" w:rsidRDefault="00F56815" w:rsidP="00A05C25">
      <w:pPr>
        <w:spacing w:after="0" w:line="240" w:lineRule="auto"/>
      </w:pPr>
      <w:r>
        <w:separator/>
      </w:r>
    </w:p>
  </w:endnote>
  <w:endnote w:type="continuationSeparator" w:id="0">
    <w:p w14:paraId="55FF2703" w14:textId="77777777" w:rsidR="00F56815" w:rsidRDefault="00F56815"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CA2D" w14:textId="77777777" w:rsidR="00F56815" w:rsidRDefault="00F56815" w:rsidP="00A05C25">
      <w:pPr>
        <w:spacing w:after="0" w:line="240" w:lineRule="auto"/>
      </w:pPr>
      <w:r>
        <w:separator/>
      </w:r>
    </w:p>
  </w:footnote>
  <w:footnote w:type="continuationSeparator" w:id="0">
    <w:p w14:paraId="74E803AA" w14:textId="77777777" w:rsidR="00F56815" w:rsidRDefault="00F56815"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1F5B67"/>
    <w:rsid w:val="00202402"/>
    <w:rsid w:val="002032FD"/>
    <w:rsid w:val="00205EB0"/>
    <w:rsid w:val="00206C58"/>
    <w:rsid w:val="00207704"/>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2BF1"/>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173B"/>
    <w:rsid w:val="00325C74"/>
    <w:rsid w:val="00326E60"/>
    <w:rsid w:val="003316FD"/>
    <w:rsid w:val="003323D0"/>
    <w:rsid w:val="00332787"/>
    <w:rsid w:val="00334899"/>
    <w:rsid w:val="003368AC"/>
    <w:rsid w:val="00337AE8"/>
    <w:rsid w:val="00342343"/>
    <w:rsid w:val="00342B6F"/>
    <w:rsid w:val="003470A0"/>
    <w:rsid w:val="00347738"/>
    <w:rsid w:val="00350171"/>
    <w:rsid w:val="00350197"/>
    <w:rsid w:val="00354ACD"/>
    <w:rsid w:val="0035607D"/>
    <w:rsid w:val="00360BA3"/>
    <w:rsid w:val="0036185A"/>
    <w:rsid w:val="00361DF5"/>
    <w:rsid w:val="00362662"/>
    <w:rsid w:val="00363397"/>
    <w:rsid w:val="0036465D"/>
    <w:rsid w:val="00365601"/>
    <w:rsid w:val="003811A3"/>
    <w:rsid w:val="00383956"/>
    <w:rsid w:val="00383DC3"/>
    <w:rsid w:val="00386154"/>
    <w:rsid w:val="0039095A"/>
    <w:rsid w:val="0039181A"/>
    <w:rsid w:val="00394858"/>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23AF"/>
    <w:rsid w:val="005037D6"/>
    <w:rsid w:val="00505963"/>
    <w:rsid w:val="00505EE9"/>
    <w:rsid w:val="00505F3D"/>
    <w:rsid w:val="00507CF0"/>
    <w:rsid w:val="005114CB"/>
    <w:rsid w:val="005129B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484"/>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0DA1"/>
    <w:rsid w:val="006F1C20"/>
    <w:rsid w:val="006F2D32"/>
    <w:rsid w:val="006F2DB8"/>
    <w:rsid w:val="006F5254"/>
    <w:rsid w:val="006F548F"/>
    <w:rsid w:val="006F5B2E"/>
    <w:rsid w:val="006F6026"/>
    <w:rsid w:val="00700891"/>
    <w:rsid w:val="007013AE"/>
    <w:rsid w:val="007019B0"/>
    <w:rsid w:val="00702C84"/>
    <w:rsid w:val="00703B40"/>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244E"/>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20811"/>
    <w:rsid w:val="00922129"/>
    <w:rsid w:val="00923704"/>
    <w:rsid w:val="00927341"/>
    <w:rsid w:val="00930615"/>
    <w:rsid w:val="0093562D"/>
    <w:rsid w:val="00940E66"/>
    <w:rsid w:val="00942CCE"/>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2A21"/>
    <w:rsid w:val="00B31849"/>
    <w:rsid w:val="00B31C79"/>
    <w:rsid w:val="00B3407A"/>
    <w:rsid w:val="00B340CB"/>
    <w:rsid w:val="00B36682"/>
    <w:rsid w:val="00B402E4"/>
    <w:rsid w:val="00B40E4D"/>
    <w:rsid w:val="00B41CFA"/>
    <w:rsid w:val="00B42A9D"/>
    <w:rsid w:val="00B42E20"/>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383"/>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63A9"/>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4F95"/>
    <w:rsid w:val="00C96DC9"/>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1E06"/>
    <w:rsid w:val="00DE2549"/>
    <w:rsid w:val="00DE40EF"/>
    <w:rsid w:val="00DE6D3F"/>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56815"/>
    <w:rsid w:val="00F612BA"/>
    <w:rsid w:val="00F6143D"/>
    <w:rsid w:val="00F62838"/>
    <w:rsid w:val="00F62F94"/>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14FD"/>
    <w:rsid w:val="00FC1A3F"/>
    <w:rsid w:val="00FC29BF"/>
    <w:rsid w:val="00FC4E30"/>
    <w:rsid w:val="00FD2592"/>
    <w:rsid w:val="00FD371E"/>
    <w:rsid w:val="00FD51A9"/>
    <w:rsid w:val="00FD745E"/>
    <w:rsid w:val="00FD7BD3"/>
    <w:rsid w:val="00FE160A"/>
    <w:rsid w:val="00FE1F42"/>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12498</Words>
  <Characters>71241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4</cp:revision>
  <cp:lastPrinted>2025-09-11T10:29:00Z</cp:lastPrinted>
  <dcterms:created xsi:type="dcterms:W3CDTF">2026-03-05T12:37:00Z</dcterms:created>
  <dcterms:modified xsi:type="dcterms:W3CDTF">2026-03-05T12:47:00Z</dcterms:modified>
</cp:coreProperties>
</file>